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20"/>
          <w:szCs w:val="20"/>
        </w:rPr>
      </w:pP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bookmarkStart w:id="0" w:name="_GoBack"/>
      <w:bookmarkEnd w:id="0"/>
      <w:r>
        <w:rPr>
          <w:b/>
          <w:bCs/>
          <w:sz w:val="20"/>
          <w:szCs w:val="20"/>
        </w:rPr>
        <w:t>ДЕФЕКТНЫЙ АК</w:t>
      </w:r>
      <w:r>
        <w:rPr>
          <w:b/>
          <w:bCs/>
          <w:sz w:val="20"/>
          <w:szCs w:val="20"/>
          <w:lang w:val="ru-RU"/>
        </w:rPr>
        <w:t>Т</w:t>
      </w:r>
    </w:p>
    <w:p w14:paraId="1EA1BE33">
      <w:pPr>
        <w:jc w:val="both"/>
        <w:rPr>
          <w:sz w:val="20"/>
          <w:szCs w:val="20"/>
        </w:rPr>
      </w:pP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p w14:paraId="711FADC4">
      <w:pPr>
        <w:jc w:val="both"/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«Средняя школа №20 г.Минска имени Г.В.Булацкого», ул. Парниковая, 5а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5AF4798F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Установлено,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что В рекреации 1 этажа старшей школы в количестве 8 штук люминесцентные светильники имеют почернения по торцам ламп, мерцание при включении, сниженный световой поток, пускорегулирующая аппаратура издаёт гул. В коридоре 1 этажа старшей школы возле столовой в количестве 4 штук люминесцентные светильники имеют повреждения корпусов, трещины в плафонах,  стартеры неисправны, провода внутри светильников имеют повреждения изоляции. В рекреации младшей школы 2 этажа в количестве 6 штук люминесцентные светильники имеют сниженную яркость свечения, почернения по торцам ламп, корпуса имеют следы коррозии. В рекреации младшей школы 3 этажа в количестве 6 штук люминесцентные светильники имеют мерцание, плафоны пожелтели и имеют механические повреждения. В коридоре 3 этажа между старшей и младшей школой в количестве 14 штук люминесцентные светильники имеют многочисленные дефекты: часть светильников не включается, корпуса имеют деформации и следы коррозии. В рекреации 3 этажа старшей школы в количестве 8 штук люминесцентные светильники имеют почернения по торцам ламп, сниженную яркость, плафоны имеют трещины и повреждения. В гардеробе в количестве 29 штук люминесцентные светильники работают с мерцанием и гулом, корпуса имеют следы коррозии и механические повреждения, провода внутри светильников имеют повреждения изоляции, контактные соединения ослаблены.</w:t>
            </w:r>
          </w:p>
          <w:p w14:paraId="59380CA4">
            <w:pPr>
              <w:ind w:left="0" w:leftChars="0" w:firstLine="600" w:firstLineChars="30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01.07.2026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пять рабочих дней с даты заключения договора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1F99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noWrap w:val="0"/>
            <w:vAlign w:val="top"/>
          </w:tcPr>
          <w:p w14:paraId="0CB2B5F3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sz w:val="16"/>
                <w:szCs w:val="16"/>
              </w:rPr>
            </w:pPr>
          </w:p>
        </w:tc>
        <w:tc>
          <w:tcPr>
            <w:tcW w:w="6024" w:type="dxa"/>
            <w:noWrap w:val="0"/>
            <w:vAlign w:val="top"/>
          </w:tcPr>
          <w:p w14:paraId="7868B3A0">
            <w:pPr>
              <w:autoSpaceDE/>
              <w:spacing w:before="60" w:beforeLines="0" w:afterLines="0"/>
              <w:ind w:left="-57" w:leftChars="0" w:right="-57" w:rightChars="0"/>
              <w:rPr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Демонтаж светильников для люминесцентных ламп</w:t>
            </w:r>
          </w:p>
        </w:tc>
        <w:tc>
          <w:tcPr>
            <w:tcW w:w="1347" w:type="dxa"/>
            <w:noWrap w:val="0"/>
            <w:vAlign w:val="top"/>
          </w:tcPr>
          <w:p w14:paraId="34DFF7D9">
            <w:pPr>
              <w:spacing w:before="60" w:beforeLines="0" w:afterLines="0"/>
              <w:rPr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  <w:noWrap w:val="0"/>
            <w:vAlign w:val="top"/>
          </w:tcPr>
          <w:p w14:paraId="5B685D05">
            <w:pPr>
              <w:autoSpaceDE/>
              <w:spacing w:before="60" w:beforeLines="0" w:afterLines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0.75</w:t>
            </w:r>
          </w:p>
        </w:tc>
        <w:tc>
          <w:tcPr>
            <w:tcW w:w="1612" w:type="dxa"/>
            <w:noWrap w:val="0"/>
            <w:vAlign w:val="top"/>
          </w:tcPr>
          <w:p w14:paraId="318B3845">
            <w:pPr>
              <w:spacing w:beforeLines="0" w:afterLines="0"/>
              <w:rPr>
                <w:sz w:val="16"/>
                <w:szCs w:val="16"/>
                <w:lang w:val="en-US"/>
              </w:rPr>
            </w:pPr>
          </w:p>
        </w:tc>
      </w:tr>
      <w:tr w14:paraId="3C50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noWrap w:val="0"/>
            <w:vAlign w:val="top"/>
          </w:tcPr>
          <w:p w14:paraId="45BCE656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noWrap w:val="0"/>
            <w:vAlign w:val="top"/>
          </w:tcPr>
          <w:p w14:paraId="5CEA02C0">
            <w:pPr>
              <w:autoSpaceDE/>
              <w:spacing w:before="60" w:beforeLines="0" w:afterLines="0"/>
              <w:ind w:left="-57" w:leftChars="0" w:right="-57" w:rightChars="0"/>
              <w:rPr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</w:rPr>
              <w:t>Светильники с люминесцентными лампами, крепление на распорные дюбеля, количество ламп 2</w:t>
            </w:r>
          </w:p>
        </w:tc>
        <w:tc>
          <w:tcPr>
            <w:tcW w:w="1347" w:type="dxa"/>
            <w:noWrap w:val="0"/>
            <w:vAlign w:val="top"/>
          </w:tcPr>
          <w:p w14:paraId="1360DC44">
            <w:pPr>
              <w:spacing w:before="60" w:beforeLines="0" w:afterLines="0"/>
              <w:rPr>
                <w:sz w:val="12"/>
                <w:szCs w:val="12"/>
                <w:lang w:val="en-US"/>
              </w:rPr>
            </w:pPr>
            <w:r>
              <w:rPr>
                <w:rFonts w:hint="default"/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  <w:noWrap w:val="0"/>
            <w:vAlign w:val="top"/>
          </w:tcPr>
          <w:p w14:paraId="65D1D2A7">
            <w:pPr>
              <w:autoSpaceDE/>
              <w:spacing w:before="60" w:beforeLines="0" w:afterLines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rFonts w:hint="default"/>
                <w:sz w:val="16"/>
                <w:szCs w:val="16"/>
              </w:rPr>
              <w:t>0.75</w:t>
            </w:r>
          </w:p>
        </w:tc>
        <w:tc>
          <w:tcPr>
            <w:tcW w:w="1612" w:type="dxa"/>
            <w:noWrap w:val="0"/>
            <w:vAlign w:val="top"/>
          </w:tcPr>
          <w:p w14:paraId="7D92CD33">
            <w:pPr>
              <w:spacing w:beforeLines="0" w:afterLines="0"/>
              <w:rPr>
                <w:sz w:val="16"/>
                <w:szCs w:val="16"/>
                <w:lang w:val="en-US"/>
              </w:rPr>
            </w:pPr>
          </w:p>
        </w:tc>
      </w:tr>
    </w:tbl>
    <w:p w14:paraId="1B7EF2F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D6B257A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position w:val="0"/>
        <w:sz w:val="12"/>
        <w:szCs w:val="12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ACE61BA"/>
    <w:rsid w:val="13D55286"/>
    <w:rsid w:val="165F78CC"/>
    <w:rsid w:val="209F4781"/>
    <w:rsid w:val="217F294D"/>
    <w:rsid w:val="25AC33F8"/>
    <w:rsid w:val="28B828E7"/>
    <w:rsid w:val="2DC342DF"/>
    <w:rsid w:val="3824754B"/>
    <w:rsid w:val="3B9B34C8"/>
    <w:rsid w:val="3D5147E4"/>
    <w:rsid w:val="3F110955"/>
    <w:rsid w:val="41102ED1"/>
    <w:rsid w:val="4253789F"/>
    <w:rsid w:val="43550727"/>
    <w:rsid w:val="45CD23C1"/>
    <w:rsid w:val="477D5511"/>
    <w:rsid w:val="482272D3"/>
    <w:rsid w:val="48E70E06"/>
    <w:rsid w:val="4CB065F0"/>
    <w:rsid w:val="56A411A2"/>
    <w:rsid w:val="59BF374D"/>
    <w:rsid w:val="5CE41FE9"/>
    <w:rsid w:val="5D641804"/>
    <w:rsid w:val="5E023763"/>
    <w:rsid w:val="5EEA13BA"/>
    <w:rsid w:val="5F3E325F"/>
    <w:rsid w:val="61EA2E9D"/>
    <w:rsid w:val="6AF71B23"/>
    <w:rsid w:val="6ECE5EFB"/>
    <w:rsid w:val="75FB6052"/>
    <w:rsid w:val="76790AEC"/>
    <w:rsid w:val="78630FF1"/>
    <w:rsid w:val="7AB55B64"/>
    <w:rsid w:val="7B745E22"/>
    <w:rsid w:val="7DF80A62"/>
    <w:rsid w:val="7FB2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443</Words>
  <Characters>3235</Characters>
  <Lines>19</Lines>
  <Paragraphs>5</Paragraphs>
  <TotalTime>0</TotalTime>
  <ScaleCrop>false</ScaleCrop>
  <LinksUpToDate>false</LinksUpToDate>
  <CharactersWithSpaces>3917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2026-02-18T10:18:00Z</cp:lastPrinted>
  <dcterms:modified xsi:type="dcterms:W3CDTF">2026-08-05T12:25:18Z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